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Criteri valorizzazione del merito studenti IIS Floriani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Uno studente per indirizzo, compreso il corso serale, pertanto si premieranno n. 6 studenti, usando i seguenti criteri: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Miglior media scolastica, compreso il voto di condotta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caso di parità, maggior frequenza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caso di parità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miglior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voto di condotta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caso di parità sorteggio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Premio: card spendibile presso un marchio a scelta dello studente premiato, del valore di 120 euro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(Consiglio d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’Istituto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u w:val="single"/>
          <w:rtl w:val="0"/>
        </w:rPr>
        <w:t xml:space="preserve">Delibera n. 60, Verbale n. 8 del 17 ottobre 2022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-IT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aragrafoelenco">
    <w:name w:val="List Paragraph"/>
    <w:basedOn w:val="Normale"/>
    <w:uiPriority w:val="34"/>
    <w:qFormat w:val="1"/>
    <w:rsid w:val="00063A6D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Wq8SpVSEWIrrW9miQ41W4TTjEA==">CgMxLjA4AHIhMUFBZklmdWZvZVZoS1BkZ2Q1X25mQlp1WXVoQWpLYXhO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2022-10-31T10:35:00Z</dcterms:created>
  <dc:creator>Emanuela Sala</dc:creator>
</cp:coreProperties>
</file>